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C6" w:rsidRDefault="002C08C6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2C08C6" w:rsidRDefault="008D0918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Радник</w:t>
      </w:r>
      <w:r w:rsidR="002C08C6">
        <w:rPr>
          <w:sz w:val="28"/>
          <w:szCs w:val="28"/>
          <w:lang w:val="uk-UA"/>
        </w:rPr>
        <w:t xml:space="preserve"> міського голови                С.О. Осадчий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p w:rsidR="002C08C6" w:rsidRDefault="002C08C6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C08C6" w:rsidRDefault="002C08C6" w:rsidP="002C08C6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 xml:space="preserve">на </w:t>
      </w:r>
      <w:r w:rsidR="00CB3E48">
        <w:rPr>
          <w:b/>
          <w:sz w:val="28"/>
          <w:szCs w:val="28"/>
          <w:lang w:val="uk-UA"/>
        </w:rPr>
        <w:t>жовтень</w:t>
      </w:r>
      <w:r>
        <w:rPr>
          <w:b/>
          <w:sz w:val="28"/>
          <w:szCs w:val="28"/>
          <w:lang w:val="uk-UA"/>
        </w:rPr>
        <w:t xml:space="preserve"> 2018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року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980"/>
        <w:gridCol w:w="68"/>
        <w:gridCol w:w="2862"/>
        <w:gridCol w:w="2140"/>
        <w:gridCol w:w="19"/>
      </w:tblGrid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Л.М..</w:t>
            </w: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 w:rsidP="008D091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</w:p>
        </w:tc>
      </w:tr>
      <w:tr w:rsidR="002C08C6" w:rsidRPr="008D0918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 w:rsidP="00CB3E48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Співпраця з </w:t>
            </w:r>
            <w:r>
              <w:rPr>
                <w:lang w:val="en-US" w:eastAsia="en-US"/>
              </w:rPr>
              <w:t>FORBIZ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Pr="008D0918" w:rsidRDefault="008D0918" w:rsidP="008D09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2C08C6" w:rsidTr="002C08C6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2C08C6" w:rsidRDefault="002C08C6" w:rsidP="008F4BC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2C08C6" w:rsidRDefault="002C08C6" w:rsidP="008F4BC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2C08C6" w:rsidRDefault="002C08C6" w:rsidP="008F4BC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15 та 30  числа</w:t>
            </w:r>
          </w:p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C08C6" w:rsidRDefault="002C08C6">
            <w:pPr>
              <w:spacing w:line="276" w:lineRule="auto"/>
              <w:ind w:right="-4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20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2C08C6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</w:t>
            </w:r>
            <w:r>
              <w:rPr>
                <w:lang w:eastAsia="en-US"/>
              </w:rPr>
              <w:t xml:space="preserve"> 7 для </w:t>
            </w:r>
            <w:proofErr w:type="spellStart"/>
            <w:r>
              <w:rPr>
                <w:lang w:eastAsia="en-US"/>
              </w:rPr>
              <w:t>службового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ористування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2C08C6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12 </w:t>
            </w:r>
            <w:r>
              <w:rPr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8D0918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8D091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15.</w:t>
            </w:r>
          </w:p>
          <w:p w:rsidR="008D0918" w:rsidRPr="008D0918" w:rsidRDefault="008D091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Pr="008D0918" w:rsidRDefault="001D37BE" w:rsidP="00CB3E4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та проведення </w:t>
            </w:r>
            <w:r w:rsidR="00CB3E48">
              <w:rPr>
                <w:lang w:val="uk-UA" w:eastAsia="en-US"/>
              </w:rPr>
              <w:t xml:space="preserve">Покровського </w:t>
            </w:r>
            <w:r>
              <w:rPr>
                <w:lang w:val="uk-UA" w:eastAsia="en-US"/>
              </w:rPr>
              <w:t>ярмарк</w:t>
            </w:r>
            <w:r w:rsidR="00CB3E48">
              <w:rPr>
                <w:lang w:val="uk-UA" w:eastAsia="en-US"/>
              </w:rPr>
              <w:t>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CB3E48">
            <w:pPr>
              <w:spacing w:line="276" w:lineRule="auto"/>
              <w:rPr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8D091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</w:tc>
      </w:tr>
      <w:tr w:rsidR="008D0918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8D091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1D37BE" w:rsidP="001D37B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 п</w:t>
            </w:r>
            <w:r w:rsidR="008D0918">
              <w:rPr>
                <w:lang w:val="uk-UA" w:eastAsia="en-US"/>
              </w:rPr>
              <w:t xml:space="preserve">роведення місячника підприємництва до Дня </w:t>
            </w:r>
            <w:r w:rsidR="00A05630">
              <w:rPr>
                <w:lang w:val="uk-UA" w:eastAsia="en-US"/>
              </w:rPr>
              <w:t>підприємця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CB3E48">
            <w:pPr>
              <w:spacing w:line="276" w:lineRule="auto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0" w:rsidRDefault="00A05630" w:rsidP="00A0563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8D0918" w:rsidRDefault="00A05630" w:rsidP="00A0563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A05630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0" w:rsidRDefault="00A0563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0" w:rsidRDefault="00A05630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0" w:rsidRDefault="00A05630">
            <w:pPr>
              <w:spacing w:line="276" w:lineRule="auto"/>
              <w:rPr>
                <w:color w:val="323232"/>
                <w:spacing w:val="-3"/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30" w:rsidRDefault="00A05630" w:rsidP="00A05630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 w:rsidP="00A0563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A05630">
              <w:rPr>
                <w:lang w:val="uk-UA" w:eastAsia="en-US"/>
              </w:rPr>
              <w:t>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20 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2C08C6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A05630">
              <w:rPr>
                <w:lang w:val="uk-UA" w:eastAsia="en-US"/>
              </w:rPr>
              <w:t>9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Щоквартально д</w:t>
            </w:r>
            <w:r>
              <w:rPr>
                <w:lang w:eastAsia="en-US"/>
              </w:rPr>
              <w:t xml:space="preserve">о 25 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ЧОДА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2C08C6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A05630">
              <w:rPr>
                <w:lang w:val="uk-UA" w:eastAsia="en-US"/>
              </w:rPr>
              <w:t>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  <w:p w:rsidR="00CB3E48" w:rsidRPr="00CB3E48" w:rsidRDefault="00CB3E48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  <w:r>
              <w:rPr>
                <w:rFonts w:asciiTheme="minorHAnsi" w:eastAsiaTheme="minorHAnsi" w:hAnsiTheme="minorHAnsi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2C08C6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A05630">
              <w:rPr>
                <w:lang w:val="uk-UA" w:eastAsia="en-US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Інформувати підприємства міста про </w:t>
            </w:r>
            <w:r>
              <w:rPr>
                <w:color w:val="000000"/>
                <w:lang w:val="uk-UA" w:eastAsia="en-US"/>
              </w:rPr>
              <w:t>виставково-ярмаркові заходи та о</w:t>
            </w:r>
            <w:r>
              <w:rPr>
                <w:color w:val="323232"/>
                <w:spacing w:val="5"/>
                <w:lang w:val="uk-UA" w:eastAsia="en-US"/>
              </w:rPr>
              <w:t xml:space="preserve">рганізовувати їх участь у </w:t>
            </w:r>
            <w:r>
              <w:rPr>
                <w:color w:val="323232"/>
                <w:lang w:val="uk-UA" w:eastAsia="en-US"/>
              </w:rPr>
              <w:t xml:space="preserve">цих заходах відповідно до </w:t>
            </w:r>
            <w:r>
              <w:rPr>
                <w:color w:val="323232"/>
                <w:spacing w:val="-1"/>
                <w:lang w:val="uk-UA" w:eastAsia="en-US"/>
              </w:rPr>
              <w:t>обласної Програми виставок.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hd w:val="clear" w:color="auto" w:fill="FFFFFF"/>
              <w:spacing w:line="326" w:lineRule="exact"/>
              <w:ind w:right="86" w:hanging="5"/>
              <w:rPr>
                <w:color w:val="323232"/>
                <w:spacing w:val="-4"/>
                <w:lang w:val="uk-UA"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  <w:p w:rsidR="002C08C6" w:rsidRDefault="002C08C6">
            <w:pPr>
              <w:shd w:val="clear" w:color="auto" w:fill="FFFFFF"/>
              <w:spacing w:line="326" w:lineRule="exact"/>
              <w:ind w:right="86" w:hanging="5"/>
              <w:rPr>
                <w:lang w:eastAsia="en-US"/>
              </w:rPr>
            </w:pPr>
          </w:p>
        </w:tc>
      </w:tr>
      <w:tr w:rsidR="002C08C6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Pr="00A05630" w:rsidRDefault="00A05630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2C08C6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A0563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2C08C6" w:rsidRDefault="002C08C6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2C08C6" w:rsidRDefault="002C08C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</w:tc>
      </w:tr>
      <w:tr w:rsidR="002C08C6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A0563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2C08C6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A0563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2C08C6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A0563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2C08C6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A0563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 w:rsidP="002C08C6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Покровського ярмарку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2C08C6" w:rsidRDefault="002C08C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2C08C6" w:rsidRDefault="002C08C6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</w:tc>
      </w:tr>
      <w:tr w:rsidR="00CB3E48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8" w:rsidRDefault="00CB3E48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8" w:rsidRDefault="00CB3E48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 програми економічного та соціального розвитку на 2019 рік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8" w:rsidRDefault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8" w:rsidRDefault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CB3E48" w:rsidRDefault="00CB3E48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CB3E48" w:rsidRDefault="00CB3E48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CB3E48" w:rsidRDefault="00CB3E48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</w:tc>
      </w:tr>
      <w:tr w:rsidR="00CB3E48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8" w:rsidRDefault="00CB3E48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8" w:rsidRDefault="00CB3E48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 фінансових планів комунальних підприємств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8" w:rsidRDefault="00CB3E48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CB3E48" w:rsidRDefault="00CB3E48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CB3E48" w:rsidRDefault="00CB3E48" w:rsidP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48" w:rsidRDefault="00CB3E48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CB3E48" w:rsidRDefault="00CB3E48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CB3E48" w:rsidRDefault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</w:p>
        </w:tc>
      </w:tr>
    </w:tbl>
    <w:p w:rsidR="002C08C6" w:rsidRDefault="002C08C6" w:rsidP="002C08C6">
      <w:pPr>
        <w:jc w:val="center"/>
        <w:rPr>
          <w:lang w:val="uk-UA"/>
        </w:rPr>
      </w:pPr>
    </w:p>
    <w:p w:rsidR="002C08C6" w:rsidRDefault="002C08C6" w:rsidP="002C08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p w:rsidR="002C08C6" w:rsidRDefault="002C08C6" w:rsidP="002C08C6"/>
    <w:p w:rsidR="002C08C6" w:rsidRDefault="002C08C6" w:rsidP="002C08C6"/>
    <w:p w:rsidR="002C08C6" w:rsidRDefault="002C08C6" w:rsidP="002C08C6"/>
    <w:p w:rsidR="002C08C6" w:rsidRDefault="002C08C6" w:rsidP="002C08C6"/>
    <w:p w:rsidR="00B17043" w:rsidRDefault="00B17043"/>
    <w:sectPr w:rsidR="00B17043" w:rsidSect="00A056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C6"/>
    <w:rsid w:val="000B3931"/>
    <w:rsid w:val="001D37BE"/>
    <w:rsid w:val="00294C7A"/>
    <w:rsid w:val="002B2305"/>
    <w:rsid w:val="002C08C6"/>
    <w:rsid w:val="00582C3B"/>
    <w:rsid w:val="008D0918"/>
    <w:rsid w:val="0090440D"/>
    <w:rsid w:val="00A05630"/>
    <w:rsid w:val="00B17043"/>
    <w:rsid w:val="00CB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2018-07-09T11:42:00Z</cp:lastPrinted>
  <dcterms:created xsi:type="dcterms:W3CDTF">2018-09-11T12:31:00Z</dcterms:created>
  <dcterms:modified xsi:type="dcterms:W3CDTF">2018-10-02T09:31:00Z</dcterms:modified>
</cp:coreProperties>
</file>